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52338"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513A96F" w:rsidR="006D3771" w:rsidRPr="008B6B20" w:rsidRDefault="008026A9" w:rsidP="006D3771">
            <w:pPr>
              <w:jc w:val="center"/>
              <w:rPr>
                <w:sz w:val="32"/>
                <w:szCs w:val="32"/>
                <w:lang w:val="en-GB"/>
              </w:rPr>
            </w:pPr>
            <w:r>
              <w:rPr>
                <w:sz w:val="32"/>
                <w:szCs w:val="32"/>
                <w:lang w:val="en-GB"/>
              </w:rPr>
              <w:t>Netherlands</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478495FF" w:rsidR="008B6B20" w:rsidRPr="00574B1E" w:rsidRDefault="00000000" w:rsidP="008B6B20">
      <w:pPr>
        <w:rPr>
          <w:rFonts w:ascii="Calibri" w:hAnsi="Calibri" w:cs="Calibri"/>
          <w:lang w:val="en-US"/>
        </w:rPr>
      </w:pPr>
      <w:hyperlink r:id="rId11" w:history="1">
        <w:r w:rsidR="008026A9">
          <w:rPr>
            <w:rStyle w:val="Hyperlink"/>
            <w:rFonts w:ascii="Calibri" w:hAnsi="Calibri" w:cs="Calibri"/>
            <w:lang w:val="en-US"/>
          </w:rPr>
          <w:t>CEPEJ Evaluation Report - Country Profiles – Netherlands</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4477AD15"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8026A9">
          <w:rPr>
            <w:rStyle w:val="Hyperlink"/>
            <w:rFonts w:ascii="Calibri" w:hAnsi="Calibri" w:cs="Calibri"/>
            <w:lang w:val="en-US"/>
          </w:rPr>
          <w:t>CEPEJ Country fiche - Scoreboard - Netherlands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90A3B30" w14:textId="77777777" w:rsidR="0047513B" w:rsidRDefault="0047513B">
      <w:pPr>
        <w:rPr>
          <w:rFonts w:cs="Arial"/>
          <w:color w:val="FFFFFF" w:themeColor="background1"/>
          <w:sz w:val="22"/>
          <w:szCs w:val="22"/>
          <w:shd w:val="clear" w:color="auto" w:fill="1F3864" w:themeFill="accent1" w:themeFillShade="80"/>
          <w:lang w:val="en-US"/>
        </w:rPr>
      </w:pPr>
    </w:p>
    <w:p w14:paraId="7257F741" w14:textId="77777777" w:rsidR="005F44F0" w:rsidRDefault="005F44F0" w:rsidP="005F44F0">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5F44F0">
        <w:rPr>
          <w:rFonts w:ascii="Calibri Light" w:eastAsia="Times New Roman" w:hAnsi="Calibri Light" w:cs="Calibri Light"/>
          <w:color w:val="2F5496"/>
          <w:kern w:val="36"/>
          <w:sz w:val="32"/>
          <w:szCs w:val="32"/>
          <w:lang w:val="en-US"/>
        </w:rPr>
        <w:t>II Anti-corruption framework</w:t>
      </w:r>
      <w:bookmarkEnd w:id="0"/>
      <w:r w:rsidRPr="005F44F0">
        <w:rPr>
          <w:rFonts w:ascii="Calibri Light" w:eastAsia="Times New Roman" w:hAnsi="Calibri Light" w:cs="Calibri Light"/>
          <w:color w:val="2F5496"/>
          <w:kern w:val="36"/>
          <w:sz w:val="32"/>
          <w:szCs w:val="32"/>
          <w:lang w:val="en-US"/>
        </w:rPr>
        <w:t xml:space="preserve"> </w:t>
      </w:r>
    </w:p>
    <w:p w14:paraId="2DF6B18D" w14:textId="77777777" w:rsidR="00BF7E2C" w:rsidRPr="005F44F0" w:rsidRDefault="00BF7E2C" w:rsidP="005F44F0">
      <w:pPr>
        <w:keepNext/>
        <w:spacing w:before="320"/>
        <w:outlineLvl w:val="0"/>
        <w:rPr>
          <w:rFonts w:ascii="Calibri Light" w:eastAsia="Times New Roman" w:hAnsi="Calibri Light" w:cs="Calibri Light"/>
          <w:color w:val="2F5496"/>
          <w:kern w:val="36"/>
          <w:sz w:val="32"/>
          <w:szCs w:val="32"/>
          <w:lang w:val="en-US"/>
        </w:rPr>
      </w:pPr>
    </w:p>
    <w:p w14:paraId="0624CB90" w14:textId="77777777" w:rsidR="00BF7E2C" w:rsidRDefault="00BF7E2C" w:rsidP="00BF7E2C">
      <w:pPr>
        <w:pStyle w:val="NoSpacing"/>
        <w:rPr>
          <w:lang w:val="en-GB"/>
        </w:rPr>
      </w:pPr>
      <w:r>
        <w:rPr>
          <w:lang w:val="en-GB"/>
        </w:rPr>
        <w:t xml:space="preserve">MONEYVAL </w:t>
      </w:r>
    </w:p>
    <w:p w14:paraId="4CA20E95" w14:textId="77777777" w:rsidR="00BF7E2C" w:rsidRDefault="00BF7E2C" w:rsidP="00BF7E2C">
      <w:pPr>
        <w:pStyle w:val="NoSpacing"/>
        <w:rPr>
          <w:lang w:val="en-GB"/>
        </w:rPr>
      </w:pPr>
      <w:r>
        <w:rPr>
          <w:lang w:val="en-GB"/>
        </w:rPr>
        <w:t xml:space="preserve">N/A </w:t>
      </w:r>
    </w:p>
    <w:p w14:paraId="437B33DD" w14:textId="77777777" w:rsidR="00BF7E2C" w:rsidRDefault="00BF7E2C" w:rsidP="00BF7E2C">
      <w:pPr>
        <w:pStyle w:val="NoSpacing"/>
        <w:rPr>
          <w:lang w:val="en-GB"/>
        </w:rPr>
      </w:pPr>
    </w:p>
    <w:p w14:paraId="481121AA" w14:textId="77777777" w:rsidR="00BF7E2C" w:rsidRDefault="00BF7E2C" w:rsidP="00BF7E2C">
      <w:pPr>
        <w:pStyle w:val="NoSpacing"/>
        <w:rPr>
          <w:lang w:val="en-GB"/>
        </w:rPr>
      </w:pPr>
    </w:p>
    <w:p w14:paraId="75AB5B70" w14:textId="77777777" w:rsidR="00C52338" w:rsidRDefault="00C52338" w:rsidP="00BF7E2C">
      <w:pPr>
        <w:pStyle w:val="NoSpacing"/>
        <w:rPr>
          <w:lang w:val="en-GB"/>
        </w:rPr>
      </w:pPr>
    </w:p>
    <w:p w14:paraId="2A5903CA" w14:textId="77777777" w:rsidR="00C52338" w:rsidRDefault="00C52338" w:rsidP="00BF7E2C">
      <w:pPr>
        <w:pStyle w:val="NoSpacing"/>
        <w:rPr>
          <w:lang w:val="en-GB"/>
        </w:rPr>
      </w:pPr>
    </w:p>
    <w:p w14:paraId="007CE2EA" w14:textId="5BC04991" w:rsidR="00BF7E2C" w:rsidRDefault="00C52338" w:rsidP="00BF7E2C">
      <w:pPr>
        <w:pStyle w:val="NoSpacing"/>
        <w:rPr>
          <w:lang w:val="en-GB"/>
        </w:rPr>
      </w:pPr>
      <w:r>
        <w:rPr>
          <w:lang w:val="en-GB"/>
        </w:rPr>
        <w:lastRenderedPageBreak/>
        <w:t>PACE</w:t>
      </w:r>
    </w:p>
    <w:p w14:paraId="0FD0CFCB" w14:textId="77777777" w:rsidR="00C52338" w:rsidRDefault="00C52338" w:rsidP="00BF7E2C">
      <w:pPr>
        <w:pStyle w:val="NoSpacing"/>
        <w:rPr>
          <w:lang w:val="en-GB"/>
        </w:rPr>
      </w:pPr>
    </w:p>
    <w:p w14:paraId="034FF7AA" w14:textId="77777777" w:rsidR="00C52338" w:rsidRPr="00C52338" w:rsidRDefault="00C52338" w:rsidP="00C52338">
      <w:pPr>
        <w:rPr>
          <w:rFonts w:cstheme="minorHAnsi"/>
          <w:b/>
          <w:bCs/>
          <w:lang w:val="en-US"/>
        </w:rPr>
      </w:pPr>
      <w:r w:rsidRPr="00C52338">
        <w:rPr>
          <w:rFonts w:cstheme="minorHAnsi"/>
          <w:b/>
          <w:bCs/>
          <w:lang w:val="en-US"/>
        </w:rPr>
        <w:t>The Netherlands |</w:t>
      </w:r>
      <w:r w:rsidRPr="00C52338">
        <w:rPr>
          <w:rFonts w:cstheme="minorHAnsi"/>
          <w:lang w:val="en-US"/>
        </w:rPr>
        <w:t xml:space="preserve"> </w:t>
      </w:r>
      <w:hyperlink r:id="rId14" w:history="1">
        <w:r w:rsidRPr="00C52338">
          <w:rPr>
            <w:rStyle w:val="Hyperlink"/>
            <w:rFonts w:cstheme="minorHAnsi"/>
            <w:lang w:val="en-US"/>
          </w:rPr>
          <w:t>Doc. 16086</w:t>
        </w:r>
      </w:hyperlink>
      <w:r w:rsidRPr="00C52338">
        <w:rPr>
          <w:rFonts w:cstheme="minorHAnsi"/>
          <w:b/>
          <w:bCs/>
          <w:lang w:val="en-US"/>
        </w:rPr>
        <w:t xml:space="preserve"> </w:t>
      </w:r>
    </w:p>
    <w:p w14:paraId="2DDCE636" w14:textId="77777777" w:rsidR="00C52338" w:rsidRPr="00C52338" w:rsidRDefault="00C52338" w:rsidP="00C52338">
      <w:pPr>
        <w:rPr>
          <w:rFonts w:cstheme="minorHAnsi"/>
          <w:lang w:val="en-US"/>
        </w:rPr>
      </w:pPr>
    </w:p>
    <w:p w14:paraId="0E787AF7" w14:textId="77777777" w:rsidR="00C52338" w:rsidRPr="00C52338" w:rsidRDefault="00C52338" w:rsidP="00C52338">
      <w:pPr>
        <w:jc w:val="both"/>
        <w:rPr>
          <w:rFonts w:cstheme="minorHAnsi"/>
          <w:color w:val="161616"/>
          <w:shd w:val="clear" w:color="auto" w:fill="FFFFFF"/>
          <w:lang w:val="en-US"/>
        </w:rPr>
      </w:pPr>
      <w:r w:rsidRPr="00C52338">
        <w:rPr>
          <w:rFonts w:cstheme="minorHAnsi"/>
          <w:color w:val="161616"/>
          <w:shd w:val="clear" w:color="auto" w:fill="FFFFFF"/>
          <w:lang w:val="en-US"/>
        </w:rPr>
        <w:t xml:space="preserve">The preparation of the report was interrupted due to the early parliamentary elections in the country and the lengthy period of government formation that followed, leading to an extension of the reference for the report for this country until March 2026. </w:t>
      </w:r>
    </w:p>
    <w:p w14:paraId="135DC266" w14:textId="47FB0086" w:rsidR="00C52338" w:rsidRPr="00C52338" w:rsidRDefault="00C52338" w:rsidP="00BF7E2C">
      <w:pPr>
        <w:pStyle w:val="NoSpacing"/>
        <w:rPr>
          <w:lang w:val="en-US"/>
        </w:rPr>
      </w:pPr>
    </w:p>
    <w:p w14:paraId="474AB7C5" w14:textId="77777777" w:rsidR="00BF7E2C" w:rsidRDefault="00BF7E2C" w:rsidP="00BF7E2C">
      <w:pPr>
        <w:pStyle w:val="NoSpacing"/>
        <w:rPr>
          <w:lang w:val="en-GB"/>
        </w:rPr>
      </w:pPr>
    </w:p>
    <w:p w14:paraId="0016379C" w14:textId="77777777" w:rsidR="00BF7E2C" w:rsidRDefault="00BF7E2C" w:rsidP="00BF7E2C">
      <w:pPr>
        <w:pStyle w:val="NoSpacing"/>
        <w:rPr>
          <w:lang w:val="en-GB"/>
        </w:rPr>
      </w:pPr>
    </w:p>
    <w:p w14:paraId="6F60081A" w14:textId="77777777" w:rsidR="00BF7E2C" w:rsidRDefault="00BF7E2C" w:rsidP="00BF7E2C">
      <w:pPr>
        <w:pStyle w:val="NoSpacing"/>
        <w:rPr>
          <w:lang w:val="en-GB"/>
        </w:rPr>
      </w:pPr>
      <w:r>
        <w:rPr>
          <w:lang w:val="en-GB"/>
        </w:rPr>
        <w:t xml:space="preserve">COP 198 </w:t>
      </w:r>
    </w:p>
    <w:p w14:paraId="5223C2A2" w14:textId="77777777" w:rsidR="00BF7E2C" w:rsidRDefault="00000000" w:rsidP="00BF7E2C">
      <w:pPr>
        <w:pStyle w:val="NoSpacing"/>
        <w:rPr>
          <w:lang w:val="en-GB"/>
        </w:rPr>
      </w:pPr>
      <w:hyperlink r:id="rId15" w:history="1">
        <w:r w:rsidR="00BF7E2C" w:rsidRPr="0071496B">
          <w:rPr>
            <w:rStyle w:val="Hyperlink"/>
            <w:lang w:val="en-GB"/>
          </w:rPr>
          <w:t>Thematic Monitoring Reports</w:t>
        </w:r>
      </w:hyperlink>
      <w:r w:rsidR="00BF7E2C">
        <w:rPr>
          <w:lang w:val="en-GB"/>
        </w:rPr>
        <w:t>, assessment of the application of the Warsaw Convention by the country of Aruba</w:t>
      </w:r>
      <w:r w:rsidR="00BF7E2C">
        <w:rPr>
          <w:rStyle w:val="FootnoteReference"/>
          <w:lang w:val="en-GB"/>
        </w:rPr>
        <w:footnoteReference w:id="1"/>
      </w:r>
    </w:p>
    <w:p w14:paraId="33B57871" w14:textId="77777777" w:rsidR="005F44F0" w:rsidRPr="00BF7E2C" w:rsidRDefault="005F44F0" w:rsidP="005F44F0">
      <w:pPr>
        <w:keepNext/>
        <w:spacing w:before="320"/>
        <w:outlineLvl w:val="0"/>
        <w:rPr>
          <w:rFonts w:ascii="Calibri Light" w:eastAsia="Times New Roman" w:hAnsi="Calibri Light" w:cs="Calibri Light"/>
          <w:color w:val="2F5496"/>
          <w:kern w:val="36"/>
          <w:sz w:val="32"/>
          <w:szCs w:val="32"/>
          <w:lang w:val="en-GB"/>
        </w:rPr>
      </w:pPr>
    </w:p>
    <w:p w14:paraId="53DA5C65"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p>
    <w:p w14:paraId="7B176442"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p>
    <w:p w14:paraId="4B6E2273"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bookmarkStart w:id="1" w:name="_Toc36635845"/>
      <w:r w:rsidRPr="005F44F0">
        <w:rPr>
          <w:rFonts w:ascii="Calibri Light" w:eastAsia="Times New Roman" w:hAnsi="Calibri Light" w:cs="Calibri Light"/>
          <w:color w:val="2F5496"/>
          <w:kern w:val="36"/>
          <w:sz w:val="32"/>
          <w:szCs w:val="32"/>
          <w:lang w:val="en-US"/>
        </w:rPr>
        <w:t>III Media pluralism</w:t>
      </w:r>
      <w:bookmarkEnd w:id="1"/>
      <w:r w:rsidRPr="005F44F0">
        <w:rPr>
          <w:rFonts w:ascii="Calibri Light" w:eastAsia="Times New Roman" w:hAnsi="Calibri Light" w:cs="Calibri Light"/>
          <w:color w:val="2F5496"/>
          <w:kern w:val="36"/>
          <w:sz w:val="32"/>
          <w:szCs w:val="32"/>
          <w:lang w:val="en-US"/>
        </w:rPr>
        <w:t xml:space="preserve"> </w:t>
      </w:r>
    </w:p>
    <w:p w14:paraId="5B2C73F6"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p>
    <w:p w14:paraId="53698A92"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p>
    <w:p w14:paraId="12F5D397" w14:textId="77777777" w:rsidR="005F44F0" w:rsidRPr="005F44F0" w:rsidRDefault="005F44F0" w:rsidP="005F44F0">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5F44F0">
        <w:rPr>
          <w:rFonts w:ascii="Calibri Light" w:eastAsia="Times New Roman" w:hAnsi="Calibri Light" w:cs="Calibri Light"/>
          <w:color w:val="2F5496"/>
          <w:kern w:val="36"/>
          <w:sz w:val="32"/>
          <w:szCs w:val="32"/>
          <w:lang w:val="en-US"/>
        </w:rPr>
        <w:t>IV Other institutional issues related to checks and balances</w:t>
      </w:r>
      <w:bookmarkEnd w:id="2"/>
      <w:r w:rsidRPr="005F44F0">
        <w:rPr>
          <w:rFonts w:ascii="Calibri Light" w:eastAsia="Times New Roman" w:hAnsi="Calibri Light" w:cs="Calibri Light"/>
          <w:color w:val="2F5496"/>
          <w:kern w:val="36"/>
          <w:sz w:val="32"/>
          <w:szCs w:val="32"/>
          <w:lang w:val="en-US"/>
        </w:rPr>
        <w:t xml:space="preserve"> </w:t>
      </w:r>
    </w:p>
    <w:p w14:paraId="552CAD01" w14:textId="77777777" w:rsidR="005F44F0" w:rsidRDefault="005F44F0">
      <w:pPr>
        <w:rPr>
          <w:rFonts w:cs="Arial"/>
          <w:color w:val="FFFFFF" w:themeColor="background1"/>
          <w:sz w:val="22"/>
          <w:szCs w:val="22"/>
          <w:shd w:val="clear" w:color="auto" w:fill="1F3864" w:themeFill="accent1" w:themeFillShade="80"/>
          <w:lang w:val="en-US"/>
        </w:rPr>
      </w:pPr>
    </w:p>
    <w:p w14:paraId="5CA45BAC" w14:textId="77777777" w:rsidR="0047513B" w:rsidRDefault="0047513B" w:rsidP="0047513B">
      <w:pPr>
        <w:pStyle w:val="Default"/>
        <w:jc w:val="both"/>
        <w:rPr>
          <w:rFonts w:asciiTheme="minorHAnsi" w:eastAsiaTheme="minorEastAsia" w:hAnsiTheme="minorHAnsi" w:cstheme="minorHAnsi"/>
          <w:b/>
          <w:bCs/>
          <w:color w:val="auto"/>
          <w:sz w:val="20"/>
          <w:szCs w:val="20"/>
          <w:lang w:val="en-GB"/>
        </w:rPr>
      </w:pPr>
      <w:bookmarkStart w:id="3" w:name="_Hlk189207165"/>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sidRPr="005831D4">
        <w:rPr>
          <w:rFonts w:asciiTheme="minorHAnsi" w:eastAsiaTheme="minorEastAsia" w:hAnsiTheme="minorHAnsi" w:cstheme="minorHAnsi"/>
          <w:b/>
          <w:bCs/>
          <w:color w:val="auto"/>
          <w:sz w:val="20"/>
          <w:szCs w:val="20"/>
          <w:lang w:val="en-GB"/>
        </w:rPr>
        <w:t>the Netherlands</w:t>
      </w:r>
    </w:p>
    <w:p w14:paraId="285DAFB3" w14:textId="77777777" w:rsidR="0047513B" w:rsidRDefault="0047513B" w:rsidP="0047513B">
      <w:pPr>
        <w:pStyle w:val="Default"/>
        <w:jc w:val="both"/>
        <w:rPr>
          <w:rFonts w:asciiTheme="minorHAnsi" w:eastAsiaTheme="minorEastAsia" w:hAnsiTheme="minorHAnsi" w:cstheme="minorHAnsi"/>
          <w:b/>
          <w:bCs/>
          <w:color w:val="auto"/>
          <w:sz w:val="20"/>
          <w:szCs w:val="20"/>
          <w:lang w:val="en-GB"/>
        </w:rPr>
      </w:pPr>
    </w:p>
    <w:p w14:paraId="2D2A342E" w14:textId="77777777" w:rsidR="0047513B" w:rsidRPr="003C3013" w:rsidRDefault="0047513B" w:rsidP="0047513B">
      <w:pPr>
        <w:pStyle w:val="Default"/>
        <w:jc w:val="both"/>
        <w:rPr>
          <w:rFonts w:cstheme="minorHAnsi"/>
          <w:b/>
          <w:bCs/>
          <w:i/>
          <w:iCs/>
          <w:sz w:val="20"/>
          <w:szCs w:val="20"/>
          <w:lang w:val="en-US"/>
        </w:rPr>
      </w:pPr>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6"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7"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p>
    <w:bookmarkEnd w:id="3"/>
    <w:p w14:paraId="00FB913A" w14:textId="77777777" w:rsidR="0047513B" w:rsidRDefault="0047513B">
      <w:pPr>
        <w:rPr>
          <w:rFonts w:cs="Arial"/>
          <w:color w:val="FFFFFF" w:themeColor="background1"/>
          <w:sz w:val="22"/>
          <w:szCs w:val="22"/>
          <w:shd w:val="clear" w:color="auto" w:fill="1F3864" w:themeFill="accent1" w:themeFillShade="80"/>
          <w:lang w:val="en-US"/>
        </w:rPr>
      </w:pPr>
    </w:p>
    <w:p w14:paraId="08E809EE" w14:textId="77777777" w:rsidR="0047513B" w:rsidRDefault="0047513B">
      <w:pPr>
        <w:rPr>
          <w:rFonts w:cs="Arial"/>
          <w:color w:val="FFFFFF" w:themeColor="background1"/>
          <w:sz w:val="22"/>
          <w:szCs w:val="22"/>
          <w:shd w:val="clear" w:color="auto" w:fill="1F3864" w:themeFill="accent1" w:themeFillShade="80"/>
          <w:lang w:val="en-US"/>
        </w:rPr>
      </w:pPr>
    </w:p>
    <w:p w14:paraId="72A5BB89" w14:textId="77777777" w:rsidR="0047513B" w:rsidRPr="005831D4" w:rsidRDefault="0047513B" w:rsidP="0047513B">
      <w:pPr>
        <w:pStyle w:val="ListParagraph"/>
        <w:numPr>
          <w:ilvl w:val="0"/>
          <w:numId w:val="13"/>
        </w:numPr>
        <w:jc w:val="both"/>
        <w:rPr>
          <w:rFonts w:cstheme="minorHAnsi"/>
          <w:i/>
          <w:iCs/>
          <w:lang w:val="en-GB"/>
        </w:rPr>
      </w:pPr>
      <w:r w:rsidRPr="005831D4">
        <w:rPr>
          <w:rFonts w:cstheme="minorHAnsi"/>
          <w:i/>
          <w:iCs/>
          <w:lang w:val="en-GB"/>
        </w:rPr>
        <w:t>FREEDOM OF PEACEFUL ASSEMBLY</w:t>
      </w:r>
    </w:p>
    <w:p w14:paraId="5B187DCA" w14:textId="77777777" w:rsidR="0047513B" w:rsidRPr="00DE4D42" w:rsidRDefault="0047513B" w:rsidP="0047513B">
      <w:pPr>
        <w:jc w:val="both"/>
        <w:rPr>
          <w:rFonts w:cstheme="minorHAnsi"/>
          <w:i/>
          <w:iCs/>
          <w:lang w:val="en-GB"/>
        </w:rPr>
      </w:pPr>
    </w:p>
    <w:p w14:paraId="559E9482" w14:textId="77777777" w:rsidR="0047513B" w:rsidRPr="00DE4D42" w:rsidRDefault="0047513B" w:rsidP="0047513B">
      <w:pPr>
        <w:jc w:val="both"/>
        <w:rPr>
          <w:rFonts w:cstheme="minorHAnsi"/>
          <w:lang w:val="en-GB"/>
        </w:rPr>
      </w:pPr>
      <w:proofErr w:type="spellStart"/>
      <w:r w:rsidRPr="00DE4D42">
        <w:rPr>
          <w:rFonts w:cstheme="minorHAnsi"/>
          <w:u w:val="single"/>
          <w:lang w:val="en-GB"/>
        </w:rPr>
        <w:t>Laurijsen</w:t>
      </w:r>
      <w:proofErr w:type="spellEnd"/>
      <w:r w:rsidRPr="00DE4D42">
        <w:rPr>
          <w:rFonts w:cstheme="minorHAnsi"/>
          <w:u w:val="single"/>
          <w:lang w:val="en-GB"/>
        </w:rPr>
        <w:t xml:space="preserve"> and others v. the </w:t>
      </w:r>
      <w:r>
        <w:rPr>
          <w:rFonts w:cstheme="minorHAnsi"/>
          <w:u w:val="single"/>
          <w:lang w:val="en-GB"/>
        </w:rPr>
        <w:t>N</w:t>
      </w:r>
      <w:r w:rsidRPr="00DE4D42">
        <w:rPr>
          <w:rFonts w:cstheme="minorHAnsi"/>
          <w:u w:val="single"/>
          <w:lang w:val="en-GB"/>
        </w:rPr>
        <w:t>etherlands</w:t>
      </w:r>
      <w:r w:rsidRPr="00DE4D42">
        <w:rPr>
          <w:rFonts w:cstheme="minorHAnsi"/>
          <w:lang w:val="en-GB"/>
        </w:rPr>
        <w:t xml:space="preserve"> (56896/17): This case concerns a violation of the right to freedom of peaceful assembly of the applicants, who had participated in a protest on 5 July 2011 against a preannounced eviction of a squatted building, on account of the way in which the Supreme Court examined their complaints against their arrest, prosecution and conviction for having participated in an unlawful gathering or otherwise disturbed public order, and for having failed to comply with a police order to disperse. The Court found that by “adopting the position that Article 11 of the Convention was inapplicable” and failing to exercise the balancing test required under Article 11 § 2 and to examine whether the applicants’ role in the gathering was “peaceful” within the autonomous meaning given to that concept in the Court’s case-law, the Supreme Court, in its </w:t>
      </w:r>
      <w:r w:rsidRPr="00DE4D42">
        <w:rPr>
          <w:rFonts w:cstheme="minorHAnsi"/>
          <w:lang w:val="en-GB"/>
        </w:rPr>
        <w:lastRenderedPageBreak/>
        <w:t>judgments of 2017, “failed to give relevant and sufficient reasons for the interference with the applicants’ right to freedom of assembly, and thus failed to convincingly establish the necessity for such restrictions” (§§ 65-66) (violation of Article 11).</w:t>
      </w:r>
    </w:p>
    <w:p w14:paraId="3FB42F2B" w14:textId="77777777" w:rsidR="0047513B" w:rsidRPr="00DE4D42" w:rsidRDefault="0047513B" w:rsidP="0047513B">
      <w:pPr>
        <w:jc w:val="both"/>
        <w:rPr>
          <w:rFonts w:cstheme="minorHAnsi"/>
          <w:lang w:val="en-GB"/>
        </w:rPr>
      </w:pPr>
      <w:r w:rsidRPr="00DE4D42">
        <w:rPr>
          <w:rFonts w:cstheme="minorHAnsi"/>
          <w:lang w:val="en-GB"/>
        </w:rPr>
        <w:t xml:space="preserve">Presentation on </w:t>
      </w:r>
      <w:proofErr w:type="spellStart"/>
      <w:r w:rsidRPr="00DE4D42">
        <w:rPr>
          <w:rFonts w:cstheme="minorHAnsi"/>
          <w:lang w:val="en-GB"/>
        </w:rPr>
        <w:t>Hudoc</w:t>
      </w:r>
      <w:proofErr w:type="spellEnd"/>
      <w:r w:rsidRPr="00DE4D42">
        <w:rPr>
          <w:rFonts w:cstheme="minorHAnsi"/>
          <w:lang w:val="en-GB"/>
        </w:rPr>
        <w:t xml:space="preserve"> exec: </w:t>
      </w:r>
      <w:hyperlink r:id="rId18" w:anchor="{%22fulltext%22:[%22laurijsen%22],%22execdocumenttypecollection%22:[%22CEC%22],%22execidentifier%22:[%22004-65297%22]}" w:history="1">
        <w:proofErr w:type="spellStart"/>
        <w:r w:rsidRPr="00DE4D42">
          <w:rPr>
            <w:rStyle w:val="Hyperlink"/>
            <w:rFonts w:cstheme="minorHAnsi"/>
            <w:lang w:val="en-GB"/>
          </w:rPr>
          <w:t>Laurijsen</w:t>
        </w:r>
        <w:proofErr w:type="spellEnd"/>
      </w:hyperlink>
      <w:r w:rsidRPr="00DE4D42">
        <w:rPr>
          <w:rFonts w:cstheme="minorHAnsi"/>
          <w:lang w:val="en-GB"/>
        </w:rPr>
        <w:t xml:space="preserve"> </w:t>
      </w:r>
    </w:p>
    <w:p w14:paraId="7E826CB1" w14:textId="77777777" w:rsidR="0047513B" w:rsidRPr="00DE4D42" w:rsidRDefault="0047513B" w:rsidP="0047513B">
      <w:pPr>
        <w:jc w:val="both"/>
        <w:rPr>
          <w:rFonts w:cstheme="minorHAnsi"/>
          <w:lang w:val="en-GB"/>
        </w:rPr>
      </w:pPr>
      <w:r w:rsidRPr="00DE4D42">
        <w:rPr>
          <w:rFonts w:cstheme="minorHAnsi"/>
          <w:lang w:val="en-GB"/>
        </w:rPr>
        <w:t>Last decisions: n/a</w:t>
      </w:r>
    </w:p>
    <w:p w14:paraId="6C90CDF7" w14:textId="77777777" w:rsidR="0047513B" w:rsidRPr="00A15113" w:rsidRDefault="0047513B" w:rsidP="0047513B">
      <w:pPr>
        <w:jc w:val="both"/>
        <w:rPr>
          <w:rFonts w:cstheme="minorHAnsi"/>
          <w:lang w:val="en-GB"/>
        </w:rPr>
      </w:pPr>
      <w:r w:rsidRPr="00DE4D42">
        <w:rPr>
          <w:rFonts w:cstheme="minorHAnsi"/>
          <w:lang w:val="en-GB"/>
        </w:rPr>
        <w:t xml:space="preserve">Latest submissions: </w:t>
      </w:r>
      <w:hyperlink r:id="rId19" w:anchor="{%22execidentifier%22:[%22DH-DD(2024)969E%22]}" w:history="1">
        <w:r w:rsidRPr="00A15113">
          <w:rPr>
            <w:rStyle w:val="Hyperlink"/>
            <w:rFonts w:cstheme="minorHAnsi"/>
            <w:lang w:val="en-GB"/>
          </w:rPr>
          <w:t>DH-</w:t>
        </w:r>
        <w:proofErr w:type="gramStart"/>
        <w:r w:rsidRPr="00A15113">
          <w:rPr>
            <w:rStyle w:val="Hyperlink"/>
            <w:rFonts w:cstheme="minorHAnsi"/>
            <w:lang w:val="en-GB"/>
          </w:rPr>
          <w:t>DD(</w:t>
        </w:r>
        <w:proofErr w:type="gramEnd"/>
        <w:r w:rsidRPr="00A15113">
          <w:rPr>
            <w:rStyle w:val="Hyperlink"/>
            <w:rFonts w:cstheme="minorHAnsi"/>
            <w:lang w:val="en-GB"/>
          </w:rPr>
          <w:t>2024)969</w:t>
        </w:r>
      </w:hyperlink>
    </w:p>
    <w:p w14:paraId="0A3A6CC0" w14:textId="77777777" w:rsidR="0047513B" w:rsidRPr="00DE4D42" w:rsidRDefault="0047513B" w:rsidP="0047513B">
      <w:pPr>
        <w:rPr>
          <w:rFonts w:cstheme="minorHAnsi"/>
          <w:lang w:val="en-GB"/>
        </w:rPr>
      </w:pPr>
    </w:p>
    <w:p w14:paraId="7E6ACA80" w14:textId="77777777" w:rsidR="0047513B" w:rsidRDefault="0047513B" w:rsidP="0047513B">
      <w:pPr>
        <w:jc w:val="both"/>
        <w:rPr>
          <w:rFonts w:cstheme="minorHAnsi"/>
          <w:lang w:val="en-GB"/>
        </w:rPr>
      </w:pPr>
      <w:r>
        <w:rPr>
          <w:rFonts w:cstheme="minorHAnsi"/>
          <w:lang w:val="en-GB"/>
        </w:rPr>
        <w:t xml:space="preserve">Note: The case </w:t>
      </w:r>
      <w:proofErr w:type="spellStart"/>
      <w:r w:rsidRPr="00A15113">
        <w:rPr>
          <w:rFonts w:cstheme="minorHAnsi"/>
          <w:i/>
          <w:iCs/>
          <w:lang w:val="en-GB"/>
        </w:rPr>
        <w:t>Laurijssen</w:t>
      </w:r>
      <w:proofErr w:type="spellEnd"/>
      <w:r w:rsidRPr="00A15113">
        <w:rPr>
          <w:rFonts w:cstheme="minorHAnsi"/>
          <w:lang w:val="en-GB"/>
        </w:rPr>
        <w:t xml:space="preserve"> </w:t>
      </w:r>
      <w:r>
        <w:rPr>
          <w:rFonts w:cstheme="minorHAnsi"/>
          <w:lang w:val="en-GB"/>
        </w:rPr>
        <w:t>is related to an issue mentioned in</w:t>
      </w:r>
      <w:r w:rsidRPr="00A15113">
        <w:rPr>
          <w:rFonts w:cstheme="minorHAnsi"/>
          <w:lang w:val="en-GB"/>
        </w:rPr>
        <w:t xml:space="preserve"> </w:t>
      </w:r>
      <w:r>
        <w:rPr>
          <w:rFonts w:cstheme="minorHAnsi"/>
          <w:lang w:val="en-GB"/>
        </w:rPr>
        <w:t xml:space="preserve">the 2024 </w:t>
      </w:r>
      <w:proofErr w:type="spellStart"/>
      <w:r>
        <w:rPr>
          <w:rFonts w:cstheme="minorHAnsi"/>
          <w:lang w:val="en-GB"/>
        </w:rPr>
        <w:t>RoL</w:t>
      </w:r>
      <w:proofErr w:type="spellEnd"/>
      <w:r>
        <w:rPr>
          <w:rFonts w:cstheme="minorHAnsi"/>
          <w:lang w:val="en-GB"/>
        </w:rPr>
        <w:t xml:space="preserve"> report (</w:t>
      </w:r>
      <w:r w:rsidRPr="00F77FD8">
        <w:rPr>
          <w:rFonts w:cstheme="minorHAnsi"/>
          <w:lang w:val="en-GB"/>
        </w:rPr>
        <w:t>Country Chapter on the rule of law situation in the Netherlands</w:t>
      </w:r>
      <w:r>
        <w:rPr>
          <w:rFonts w:cstheme="minorHAnsi"/>
          <w:lang w:val="en-GB"/>
        </w:rPr>
        <w:t xml:space="preserve">, p. 29), namely that the </w:t>
      </w:r>
      <w:r w:rsidRPr="00F77FD8">
        <w:rPr>
          <w:rFonts w:cstheme="minorHAnsi"/>
          <w:lang w:val="en-GB"/>
        </w:rPr>
        <w:t>Netherlands Institute for Human Rights (</w:t>
      </w:r>
      <w:r>
        <w:rPr>
          <w:rFonts w:cstheme="minorHAnsi"/>
          <w:lang w:val="en-GB"/>
        </w:rPr>
        <w:t>NIHR) noted “</w:t>
      </w:r>
      <w:r w:rsidRPr="008A6214">
        <w:rPr>
          <w:rFonts w:cstheme="minorHAnsi"/>
          <w:i/>
          <w:iCs/>
          <w:lang w:val="en-GB"/>
        </w:rPr>
        <w:t>that the concerns it raised in previous years regarding the freedom of assembly and the freedom to protest had not been addressed and recommended that national authorities facilitate protests as much as possible and avoid using procedural requirements to impose content-based restrictions</w:t>
      </w:r>
      <w:r>
        <w:rPr>
          <w:rFonts w:cstheme="minorHAnsi"/>
          <w:lang w:val="en-GB"/>
        </w:rPr>
        <w:t>”</w:t>
      </w:r>
      <w:r w:rsidRPr="00A15113">
        <w:rPr>
          <w:rFonts w:cstheme="minorHAnsi"/>
          <w:lang w:val="en-GB"/>
        </w:rPr>
        <w:t>.</w:t>
      </w:r>
      <w:r>
        <w:rPr>
          <w:rFonts w:cstheme="minorHAnsi"/>
          <w:lang w:val="en-GB"/>
        </w:rPr>
        <w:t xml:space="preserve"> However, according to the authorities’ </w:t>
      </w:r>
      <w:hyperlink r:id="rId20" w:history="1">
        <w:r w:rsidRPr="00D97815">
          <w:rPr>
            <w:rStyle w:val="Hyperlink"/>
            <w:rFonts w:cstheme="minorHAnsi"/>
            <w:lang w:val="en-GB"/>
          </w:rPr>
          <w:t>Action Plan</w:t>
        </w:r>
      </w:hyperlink>
      <w:r>
        <w:rPr>
          <w:rFonts w:cstheme="minorHAnsi"/>
          <w:lang w:val="en-GB"/>
        </w:rPr>
        <w:t xml:space="preserve">, it appears that the specific issues addressed in the </w:t>
      </w:r>
      <w:proofErr w:type="spellStart"/>
      <w:r w:rsidRPr="00BF3739">
        <w:rPr>
          <w:rFonts w:cstheme="minorHAnsi"/>
          <w:i/>
          <w:iCs/>
          <w:lang w:val="en-GB"/>
        </w:rPr>
        <w:t>Laurijssen</w:t>
      </w:r>
      <w:proofErr w:type="spellEnd"/>
      <w:r>
        <w:rPr>
          <w:rFonts w:cstheme="minorHAnsi"/>
          <w:lang w:val="en-GB"/>
        </w:rPr>
        <w:t xml:space="preserve"> judgment were resolved by the Supreme Court’s recent case-law.  </w:t>
      </w:r>
    </w:p>
    <w:p w14:paraId="61E79F03" w14:textId="77777777" w:rsidR="0047513B" w:rsidRPr="00DE4D42" w:rsidRDefault="0047513B" w:rsidP="0047513B">
      <w:pPr>
        <w:rPr>
          <w:rFonts w:cstheme="minorHAnsi"/>
          <w:lang w:val="en-GB"/>
        </w:rPr>
      </w:pPr>
    </w:p>
    <w:p w14:paraId="0DCC2284" w14:textId="77777777" w:rsidR="0047513B" w:rsidRPr="00DE4D42" w:rsidRDefault="0047513B" w:rsidP="0047513B">
      <w:pPr>
        <w:rPr>
          <w:rFonts w:cstheme="minorHAnsi"/>
          <w:i/>
          <w:iCs/>
          <w:lang w:val="en-GB"/>
        </w:rPr>
      </w:pPr>
    </w:p>
    <w:p w14:paraId="303EC203" w14:textId="77777777" w:rsidR="0047513B" w:rsidRPr="0047513B" w:rsidRDefault="0047513B">
      <w:pPr>
        <w:rPr>
          <w:rFonts w:cs="Arial"/>
          <w:color w:val="FFFFFF" w:themeColor="background1"/>
          <w:sz w:val="22"/>
          <w:szCs w:val="22"/>
          <w:shd w:val="clear" w:color="auto" w:fill="1F3864" w:themeFill="accent1" w:themeFillShade="80"/>
          <w:lang w:val="en-GB"/>
        </w:rPr>
      </w:pPr>
    </w:p>
    <w:sectPr w:rsidR="0047513B" w:rsidRPr="0047513B" w:rsidSect="007B3B82">
      <w:footerReference w:type="default" r:id="rId21"/>
      <w:footerReference w:type="first" r:id="rId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6D1A" w14:textId="77777777" w:rsidR="00FE25A6" w:rsidRDefault="00FE25A6" w:rsidP="00857FF1">
      <w:r>
        <w:separator/>
      </w:r>
    </w:p>
  </w:endnote>
  <w:endnote w:type="continuationSeparator" w:id="0">
    <w:p w14:paraId="0A05B855" w14:textId="77777777" w:rsidR="00FE25A6" w:rsidRDefault="00FE25A6"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42C1E" w14:textId="77777777" w:rsidR="00FE25A6" w:rsidRDefault="00FE25A6" w:rsidP="00857FF1">
      <w:r>
        <w:separator/>
      </w:r>
    </w:p>
  </w:footnote>
  <w:footnote w:type="continuationSeparator" w:id="0">
    <w:p w14:paraId="7F8B8C9A" w14:textId="77777777" w:rsidR="00FE25A6" w:rsidRDefault="00FE25A6" w:rsidP="00857FF1">
      <w:r>
        <w:continuationSeparator/>
      </w:r>
    </w:p>
  </w:footnote>
  <w:footnote w:id="1">
    <w:p w14:paraId="40EEABC6" w14:textId="77777777" w:rsidR="00BF7E2C" w:rsidRPr="001C4FE4" w:rsidRDefault="00BF7E2C" w:rsidP="00BF7E2C">
      <w:pPr>
        <w:pStyle w:val="FootnoteText"/>
        <w:rPr>
          <w:lang w:val="en-GB"/>
        </w:rPr>
      </w:pPr>
      <w:r>
        <w:rPr>
          <w:rStyle w:val="FootnoteReference"/>
        </w:rPr>
        <w:footnoteRef/>
      </w:r>
      <w:r w:rsidRPr="001C4FE4">
        <w:rPr>
          <w:lang w:val="en-GB"/>
        </w:rPr>
        <w:t xml:space="preserve"> The Netherlands extended the application o</w:t>
      </w:r>
      <w:r>
        <w:rPr>
          <w:lang w:val="en-GB"/>
        </w:rPr>
        <w:t>f the Convention to the country of Aruba, and a</w:t>
      </w:r>
      <w:r w:rsidRPr="001C4FE4">
        <w:rPr>
          <w:lang w:val="en-GB"/>
        </w:rPr>
        <w:t xml:space="preserve">t its 15th Plenary meeting, the </w:t>
      </w:r>
      <w:r>
        <w:rPr>
          <w:lang w:val="en-GB"/>
        </w:rPr>
        <w:t>COP 198</w:t>
      </w:r>
      <w:r w:rsidRPr="001C4FE4">
        <w:rPr>
          <w:lang w:val="en-GB"/>
        </w:rPr>
        <w:t xml:space="preserve"> decided that in 2024, the country of Aruba of the Kingdom of Netherlands will be subject to the monitoring procedure</w:t>
      </w:r>
      <w:r>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7E166CFB"/>
    <w:multiLevelType w:val="hybridMultilevel"/>
    <w:tmpl w:val="65746DB2"/>
    <w:lvl w:ilvl="0" w:tplc="E8E08C5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2640756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25072"/>
    <w:rsid w:val="00032B5D"/>
    <w:rsid w:val="000500C4"/>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279C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43E25"/>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14EA3"/>
    <w:rsid w:val="00424436"/>
    <w:rsid w:val="00424AE6"/>
    <w:rsid w:val="00434E92"/>
    <w:rsid w:val="00443197"/>
    <w:rsid w:val="00457269"/>
    <w:rsid w:val="00464735"/>
    <w:rsid w:val="00471625"/>
    <w:rsid w:val="0047513B"/>
    <w:rsid w:val="00491D94"/>
    <w:rsid w:val="0049205D"/>
    <w:rsid w:val="00496B58"/>
    <w:rsid w:val="004A1870"/>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5F44F0"/>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3A"/>
    <w:rsid w:val="00702CE9"/>
    <w:rsid w:val="007323D4"/>
    <w:rsid w:val="00734D8B"/>
    <w:rsid w:val="00742FA8"/>
    <w:rsid w:val="00744D22"/>
    <w:rsid w:val="00756962"/>
    <w:rsid w:val="0076072F"/>
    <w:rsid w:val="0076444E"/>
    <w:rsid w:val="007959C1"/>
    <w:rsid w:val="007A270E"/>
    <w:rsid w:val="007B3B82"/>
    <w:rsid w:val="007C05D6"/>
    <w:rsid w:val="007D198D"/>
    <w:rsid w:val="007D262D"/>
    <w:rsid w:val="007E2BE3"/>
    <w:rsid w:val="007F2A4E"/>
    <w:rsid w:val="007F352D"/>
    <w:rsid w:val="008026A9"/>
    <w:rsid w:val="008131ED"/>
    <w:rsid w:val="00833496"/>
    <w:rsid w:val="00833AA1"/>
    <w:rsid w:val="00840C74"/>
    <w:rsid w:val="0084140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807B6"/>
    <w:rsid w:val="00BD211A"/>
    <w:rsid w:val="00BD26EA"/>
    <w:rsid w:val="00BE1EE0"/>
    <w:rsid w:val="00BE2ADB"/>
    <w:rsid w:val="00BF5595"/>
    <w:rsid w:val="00BF7E2C"/>
    <w:rsid w:val="00C003A4"/>
    <w:rsid w:val="00C06969"/>
    <w:rsid w:val="00C06D56"/>
    <w:rsid w:val="00C45527"/>
    <w:rsid w:val="00C52338"/>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1D6A"/>
    <w:rsid w:val="00DA55DC"/>
    <w:rsid w:val="00DB1AB7"/>
    <w:rsid w:val="00DC7320"/>
    <w:rsid w:val="00DF19D6"/>
    <w:rsid w:val="00DF7C08"/>
    <w:rsid w:val="00E13798"/>
    <w:rsid w:val="00E147EE"/>
    <w:rsid w:val="00E2087D"/>
    <w:rsid w:val="00E26C9B"/>
    <w:rsid w:val="00E27691"/>
    <w:rsid w:val="00E429AF"/>
    <w:rsid w:val="00E56906"/>
    <w:rsid w:val="00E81708"/>
    <w:rsid w:val="00E84DC1"/>
    <w:rsid w:val="00E90AB0"/>
    <w:rsid w:val="00EA08E9"/>
    <w:rsid w:val="00EA39A6"/>
    <w:rsid w:val="00ED1080"/>
    <w:rsid w:val="00ED2EDB"/>
    <w:rsid w:val="00ED3D0D"/>
    <w:rsid w:val="00ED7B5B"/>
    <w:rsid w:val="00EE24A2"/>
    <w:rsid w:val="00EF5D3B"/>
    <w:rsid w:val="00F070DD"/>
    <w:rsid w:val="00F3151D"/>
    <w:rsid w:val="00F375C2"/>
    <w:rsid w:val="00F448D1"/>
    <w:rsid w:val="00F5679C"/>
    <w:rsid w:val="00F629E4"/>
    <w:rsid w:val="00F71177"/>
    <w:rsid w:val="00F7793C"/>
    <w:rsid w:val="00F8213F"/>
    <w:rsid w:val="00F847EB"/>
    <w:rsid w:val="00F91B36"/>
    <w:rsid w:val="00F973E9"/>
    <w:rsid w:val="00FA480D"/>
    <w:rsid w:val="00FB69AF"/>
    <w:rsid w:val="00FC1E1D"/>
    <w:rsid w:val="00FC335B"/>
    <w:rsid w:val="00FE25A6"/>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77099117">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193805575">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m.coe.int/netherlands-eu-scoreboard-country-fiches-2022-data/1680b065fe" TargetMode="External"/><Relationship Id="rId17" Type="http://schemas.openxmlformats.org/officeDocument/2006/relationships/hyperlink" Target="mailto:DGI-Execution@coe.int" TargetMode="External"/><Relationship Id="rId2" Type="http://schemas.openxmlformats.org/officeDocument/2006/relationships/numbering" Target="numbering.xml"/><Relationship Id="rId16" Type="http://schemas.openxmlformats.org/officeDocument/2006/relationships/hyperlink" Target="https://www.coe.int/en/web/execution/annual-reports" TargetMode="External"/><Relationship Id="rId20" Type="http://schemas.openxmlformats.org/officeDocument/2006/relationships/hyperlink" Target="https://hudoc.exec.coe.int/eng?i=DH-DD(2024)969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netherlands/1680b1df7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e.int/en/web/cop198/implementation/reports" TargetMode="External"/><Relationship Id="rId23" Type="http://schemas.openxmlformats.org/officeDocument/2006/relationships/fontTable" Target="fontTable.xml"/><Relationship Id="rId10" Type="http://schemas.openxmlformats.org/officeDocument/2006/relationships/hyperlink" Target="http://www.coe.int/en/web/cepej/cepej-stat" TargetMode="External"/><Relationship Id="rId19" Type="http://schemas.openxmlformats.org/officeDocument/2006/relationships/hyperlink" Target="https://hudoc.exec.coe.int/"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pace.coe.int/en/files/33941"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782</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2025-01-20T14:45:00Z</dcterms:created>
  <dcterms:modified xsi:type="dcterms:W3CDTF">2025-02-03T14:17:00Z</dcterms:modified>
</cp:coreProperties>
</file>